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3E63AB56" w:rsidR="009157A0" w:rsidRDefault="009157A0" w:rsidP="009157A0">
      <w:pPr>
        <w:tabs>
          <w:tab w:val="left" w:pos="3960"/>
          <w:tab w:val="center" w:pos="4394"/>
        </w:tabs>
        <w:jc w:val="center"/>
      </w:pPr>
      <w:r>
        <w:rPr>
          <w:rFonts w:ascii="var(--fontFamilyBase)" w:hAnsi="var(--fontFamilyBase)" w:cs="Segoe UI"/>
          <w:color w:val="252423"/>
          <w:sz w:val="21"/>
          <w:szCs w:val="21"/>
        </w:rPr>
        <w:br/>
      </w:r>
      <w:r w:rsidR="002F4857">
        <w:rPr>
          <w:noProof/>
          <w:sz w:val="18"/>
          <w:szCs w:val="18"/>
        </w:rPr>
        <w:drawing>
          <wp:inline distT="0" distB="0" distL="0" distR="0" wp14:anchorId="10B0C9BA" wp14:editId="7B75A401">
            <wp:extent cx="2285745" cy="990600"/>
            <wp:effectExtent l="0" t="0" r="635"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3998" cy="994177"/>
                    </a:xfrm>
                    <a:prstGeom prst="rect">
                      <a:avLst/>
                    </a:prstGeom>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00CE3FBC">
        <w:trPr>
          <w:trHeight w:val="454"/>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F21A" w14:textId="77777777" w:rsidR="009157A0" w:rsidRDefault="009157A0" w:rsidP="00CE3FBC">
            <w:pPr>
              <w:spacing w:line="276" w:lineRule="auto"/>
              <w:rPr>
                <w:rFonts w:ascii="Arial" w:hAnsi="Arial" w:cs="Arial"/>
                <w:b/>
              </w:rPr>
            </w:pPr>
            <w:r>
              <w:rPr>
                <w:rFonts w:ascii="Arial" w:hAnsi="Arial" w:cs="Arial"/>
                <w:b/>
              </w:rPr>
              <w:t>Reference No</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1A444" w14:textId="1E14285A" w:rsidR="009157A0" w:rsidRDefault="00B57258" w:rsidP="00CE3FBC">
            <w:pPr>
              <w:rPr>
                <w:rFonts w:ascii="Arial" w:hAnsi="Arial" w:cs="Arial"/>
              </w:rPr>
            </w:pPr>
            <w:r>
              <w:rPr>
                <w:rFonts w:ascii="Arial" w:hAnsi="Arial" w:cs="Arial"/>
              </w:rPr>
              <w:t>21101 &amp; 21118</w:t>
            </w:r>
          </w:p>
        </w:tc>
      </w:tr>
      <w:tr w:rsidR="009157A0" w14:paraId="3B794451"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489497" w14:textId="64CFC328" w:rsidR="009157A0" w:rsidRDefault="00B57258" w:rsidP="00CE3FBC">
            <w:pPr>
              <w:rPr>
                <w:rFonts w:ascii="Arial" w:hAnsi="Arial" w:cs="Arial"/>
              </w:rPr>
            </w:pPr>
            <w:r>
              <w:rPr>
                <w:rFonts w:ascii="Arial" w:hAnsi="Arial" w:cs="Arial"/>
              </w:rPr>
              <w:t>Learning Coordinator</w:t>
            </w:r>
          </w:p>
        </w:tc>
      </w:tr>
      <w:tr w:rsidR="009157A0" w14:paraId="34980449"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F366F" w14:textId="463143D2" w:rsidR="009157A0" w:rsidRDefault="009157A0" w:rsidP="00CE3FBC">
            <w:pPr>
              <w:rPr>
                <w:rFonts w:ascii="Arial" w:hAnsi="Arial" w:cs="Arial"/>
              </w:rPr>
            </w:pPr>
            <w:r>
              <w:rPr>
                <w:rFonts w:ascii="Arial" w:hAnsi="Arial" w:cs="Arial"/>
              </w:rPr>
              <w:t xml:space="preserve"> </w:t>
            </w:r>
            <w:r w:rsidR="00B57258">
              <w:rPr>
                <w:rFonts w:ascii="Arial" w:hAnsi="Arial" w:cs="Arial"/>
              </w:rPr>
              <w:t>APS 6</w:t>
            </w:r>
          </w:p>
        </w:tc>
      </w:tr>
      <w:tr w:rsidR="009157A0" w14:paraId="77291336"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63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9751C6" w14:textId="77777777" w:rsidR="009157A0" w:rsidRPr="00FC0364" w:rsidRDefault="009157A0" w:rsidP="00CE3FBC">
            <w:pPr>
              <w:rPr>
                <w:rFonts w:ascii="Arial" w:hAnsi="Arial" w:cs="Arial"/>
              </w:rPr>
            </w:pPr>
            <w:r>
              <w:rPr>
                <w:rFonts w:ascii="Arial" w:hAnsi="Arial" w:cs="Arial"/>
              </w:rPr>
              <w:t>Ongoing/Non-ongoing</w:t>
            </w:r>
          </w:p>
        </w:tc>
      </w:tr>
      <w:tr w:rsidR="009157A0" w14:paraId="10196932"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AB549" w14:textId="7BA8595E" w:rsidR="009157A0" w:rsidRPr="00DA6263" w:rsidRDefault="009157A0" w:rsidP="00CE3FBC">
            <w:pPr>
              <w:rPr>
                <w:rFonts w:ascii="Arial" w:hAnsi="Arial" w:cs="Arial"/>
                <w:color w:val="FF0000"/>
              </w:rPr>
            </w:pPr>
            <w:r w:rsidRPr="00B57258">
              <w:rPr>
                <w:rFonts w:ascii="Arial" w:hAnsi="Arial" w:cs="Arial"/>
              </w:rPr>
              <w:t>Full-time</w:t>
            </w:r>
          </w:p>
        </w:tc>
      </w:tr>
      <w:tr w:rsidR="000A32E3" w14:paraId="6E24F6F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EB06494" w14:textId="59BA5101" w:rsidR="000A32E3" w:rsidRDefault="006C7D08" w:rsidP="00CE3FBC">
            <w:pPr>
              <w:spacing w:line="276" w:lineRule="auto"/>
              <w:rPr>
                <w:rFonts w:ascii="Arial" w:hAnsi="Arial" w:cs="Arial"/>
                <w:b/>
              </w:rPr>
            </w:pPr>
            <w:r>
              <w:rPr>
                <w:rFonts w:ascii="Arial" w:hAnsi="Arial" w:cs="Arial"/>
                <w:b/>
              </w:rPr>
              <w:t>Office Arrangement</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000F8319" w14:textId="4C4BF576" w:rsidR="000A32E3" w:rsidRPr="006C7D08" w:rsidRDefault="006C7D08" w:rsidP="00CE3FBC">
            <w:pPr>
              <w:rPr>
                <w:rFonts w:ascii="Arial" w:hAnsi="Arial" w:cs="Arial"/>
                <w:color w:val="FF0000"/>
              </w:rPr>
            </w:pPr>
            <w:r w:rsidRPr="001820E2">
              <w:rPr>
                <w:rFonts w:ascii="Arial" w:hAnsi="Arial" w:cs="Arial"/>
              </w:rPr>
              <w:t>On-site</w:t>
            </w:r>
            <w:r w:rsidR="009D18CF" w:rsidRPr="001820E2">
              <w:rPr>
                <w:rFonts w:ascii="Arial" w:hAnsi="Arial" w:cs="Arial"/>
              </w:rPr>
              <w:t xml:space="preserve"> </w:t>
            </w:r>
          </w:p>
        </w:tc>
      </w:tr>
      <w:tr w:rsidR="009157A0" w14:paraId="6871F7EF"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DFD45F8" w14:textId="05C69490" w:rsidR="009157A0" w:rsidRPr="00DA6263" w:rsidRDefault="00B57258" w:rsidP="00CE3FBC">
            <w:pPr>
              <w:rPr>
                <w:rFonts w:ascii="Arial" w:hAnsi="Arial" w:cs="Arial"/>
                <w:color w:val="FF0000"/>
              </w:rPr>
            </w:pPr>
            <w:r>
              <w:rPr>
                <w:rFonts w:ascii="Arial" w:hAnsi="Arial" w:cs="Arial"/>
              </w:rPr>
              <w:t>$90,199 - $101,022 + 15.4% superannuation</w:t>
            </w:r>
          </w:p>
        </w:tc>
      </w:tr>
      <w:tr w:rsidR="009157A0" w14:paraId="79621DF2"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25BA5BD7" w14:textId="350EAB5F" w:rsidR="009157A0" w:rsidRDefault="00B57258" w:rsidP="00CE3FBC">
            <w:pPr>
              <w:rPr>
                <w:rFonts w:ascii="Arial" w:hAnsi="Arial" w:cs="Arial"/>
              </w:rPr>
            </w:pPr>
            <w:r>
              <w:rPr>
                <w:rFonts w:ascii="Arial" w:hAnsi="Arial" w:cs="Arial"/>
              </w:rPr>
              <w:t>Museum Experience, Learning and Operations</w:t>
            </w:r>
          </w:p>
        </w:tc>
      </w:tr>
      <w:tr w:rsidR="009157A0" w14:paraId="5A6427F5"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C08968" w14:textId="1D250053" w:rsidR="009157A0" w:rsidRDefault="00B57258" w:rsidP="00CE3FBC">
            <w:pPr>
              <w:rPr>
                <w:rFonts w:ascii="Arial" w:hAnsi="Arial" w:cs="Arial"/>
              </w:rPr>
            </w:pPr>
            <w:r>
              <w:rPr>
                <w:rFonts w:ascii="Arial" w:hAnsi="Arial" w:cs="Arial"/>
              </w:rPr>
              <w:t>Learning</w:t>
            </w:r>
          </w:p>
        </w:tc>
      </w:tr>
      <w:tr w:rsidR="009157A0" w14:paraId="08EA8871"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5A805931" w14:textId="48B77E91" w:rsidR="009157A0" w:rsidRDefault="009157A0" w:rsidP="00CE3FBC">
            <w:pPr>
              <w:rPr>
                <w:rFonts w:ascii="Arial" w:hAnsi="Arial" w:cs="Arial"/>
              </w:rPr>
            </w:pPr>
            <w:r>
              <w:rPr>
                <w:rFonts w:ascii="Arial" w:hAnsi="Arial" w:cs="Arial"/>
              </w:rPr>
              <w:t xml:space="preserve">Australian Citizen + security clearance (after commencement) </w:t>
            </w:r>
            <w:r w:rsidR="00604B02">
              <w:rPr>
                <w:rFonts w:ascii="Arial" w:hAnsi="Arial" w:cs="Arial"/>
              </w:rPr>
              <w:t xml:space="preserve">+ WWVP </w:t>
            </w:r>
          </w:p>
        </w:tc>
      </w:tr>
      <w:tr w:rsidR="009157A0" w14:paraId="344581AC"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A554503" w14:textId="69D5661B" w:rsidR="009157A0" w:rsidRDefault="00B57258" w:rsidP="00CE3FBC">
            <w:pPr>
              <w:rPr>
                <w:rFonts w:ascii="Arial" w:hAnsi="Arial" w:cs="Arial"/>
              </w:rPr>
            </w:pPr>
            <w:r>
              <w:rPr>
                <w:rFonts w:ascii="Arial" w:hAnsi="Arial" w:cs="Arial"/>
              </w:rPr>
              <w:t>Stephanie Smith - 02 6270 8154</w:t>
            </w:r>
          </w:p>
        </w:tc>
      </w:tr>
      <w:tr w:rsidR="009157A0" w14:paraId="454571F8"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632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Mar>
              <w:top w:w="0" w:type="dxa"/>
              <w:left w:w="108" w:type="dxa"/>
              <w:bottom w:w="0" w:type="dxa"/>
              <w:right w:w="108" w:type="dxa"/>
            </w:tcMar>
            <w:vAlign w:val="center"/>
          </w:tcPr>
          <w:p w14:paraId="4A695096" w14:textId="47291E9D" w:rsidR="009157A0" w:rsidRPr="00B57258" w:rsidRDefault="0018732D" w:rsidP="00CE3FBC">
            <w:pPr>
              <w:rPr>
                <w:rFonts w:ascii="Arial" w:hAnsi="Arial" w:cs="Arial"/>
              </w:rPr>
            </w:pPr>
            <w:r>
              <w:rPr>
                <w:rFonts w:ascii="Arial" w:hAnsi="Arial" w:cs="Arial"/>
              </w:rPr>
              <w:t xml:space="preserve">Thursday </w:t>
            </w:r>
            <w:r w:rsidR="00B57258" w:rsidRPr="00B57258">
              <w:rPr>
                <w:rFonts w:ascii="Arial" w:hAnsi="Arial" w:cs="Arial"/>
              </w:rPr>
              <w:t>2</w:t>
            </w:r>
            <w:r>
              <w:rPr>
                <w:rFonts w:ascii="Arial" w:hAnsi="Arial" w:cs="Arial"/>
              </w:rPr>
              <w:t>8</w:t>
            </w:r>
            <w:r w:rsidR="00B57258" w:rsidRPr="00B57258">
              <w:rPr>
                <w:rFonts w:ascii="Arial" w:hAnsi="Arial" w:cs="Arial"/>
              </w:rPr>
              <w:t xml:space="preserve"> November 2024</w:t>
            </w:r>
          </w:p>
        </w:tc>
      </w:tr>
      <w:tr w:rsidR="009157A0" w14:paraId="6D3A9E29" w14:textId="77777777" w:rsidTr="000A32E3">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63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EDD5CB6" w14:textId="4C05783C" w:rsidR="009157A0" w:rsidRDefault="0018732D" w:rsidP="00CE3FBC">
            <w:pPr>
              <w:rPr>
                <w:rFonts w:ascii="Arial" w:hAnsi="Arial" w:cs="Arial"/>
              </w:rPr>
            </w:pPr>
            <w:r>
              <w:rPr>
                <w:rFonts w:ascii="Arial" w:hAnsi="Arial" w:cs="Arial"/>
              </w:rPr>
              <w:t>Sunday 5 January 2025 (11:59pm)</w:t>
            </w:r>
          </w:p>
        </w:tc>
      </w:tr>
      <w:tr w:rsidR="009157A0" w14:paraId="7B81AF2D" w14:textId="77777777" w:rsidTr="00CE3FBC">
        <w:trPr>
          <w:trHeight w:val="45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1D4BF" w14:textId="70528F79" w:rsidR="009157A0" w:rsidRPr="00B57258" w:rsidRDefault="00B57258" w:rsidP="00CE3FBC">
            <w:pPr>
              <w:spacing w:after="120"/>
              <w:rPr>
                <w:rFonts w:ascii="Arial" w:eastAsia="Arial" w:hAnsi="Arial" w:cs="Arial"/>
                <w:b/>
                <w:bCs/>
              </w:rPr>
            </w:pPr>
            <w:r>
              <w:rPr>
                <w:rFonts w:ascii="Arial" w:eastAsia="Arial" w:hAnsi="Arial" w:cs="Arial"/>
                <w:b/>
                <w:bCs/>
                <w:sz w:val="22"/>
                <w:szCs w:val="22"/>
              </w:rPr>
              <w:t>This is an ongoing opportunity</w:t>
            </w:r>
            <w:r w:rsidR="0018732D">
              <w:rPr>
                <w:rFonts w:ascii="Arial" w:eastAsia="Arial" w:hAnsi="Arial" w:cs="Arial"/>
                <w:b/>
                <w:bCs/>
                <w:sz w:val="22"/>
                <w:szCs w:val="22"/>
              </w:rPr>
              <w:t xml:space="preserve"> for 2 roles.</w:t>
            </w:r>
          </w:p>
          <w:p w14:paraId="2E0B609B" w14:textId="77777777" w:rsidR="009157A0" w:rsidRDefault="009157A0" w:rsidP="00CE3FBC">
            <w:pPr>
              <w:spacing w:after="120"/>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392A5047"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2756823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3CCF652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7B697BAF"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18BAF0F2"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56BA3DDE"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1E45234"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 through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Pr="00B57258" w:rsidRDefault="009157A0" w:rsidP="009157A0">
      <w:pPr>
        <w:widowControl w:val="0"/>
        <w:shd w:val="clear" w:color="auto" w:fill="FFFFFF"/>
        <w:autoSpaceDE w:val="0"/>
        <w:spacing w:after="240" w:line="276" w:lineRule="auto"/>
        <w:rPr>
          <w:rFonts w:ascii="Arial" w:hAnsi="Arial" w:cs="Arial"/>
        </w:rPr>
      </w:pPr>
      <w:r w:rsidRPr="00B57258">
        <w:rPr>
          <w:rFonts w:ascii="Arial" w:eastAsia="Arial" w:hAnsi="Arial" w:cs="Arial"/>
          <w:color w:val="000000"/>
          <w:sz w:val="22"/>
          <w:szCs w:val="22"/>
        </w:rPr>
        <w:t xml:space="preserve">MoAD employees are engaged under the </w:t>
      </w:r>
      <w:hyperlink r:id="rId11" w:history="1">
        <w:r w:rsidRPr="00B57258">
          <w:rPr>
            <w:rStyle w:val="Hyperlink"/>
            <w:rFonts w:ascii="Arial" w:eastAsia="Arial" w:hAnsi="Arial" w:cs="Arial"/>
            <w:sz w:val="22"/>
            <w:szCs w:val="22"/>
          </w:rPr>
          <w:t>Australian Public Service Act 1999</w:t>
        </w:r>
      </w:hyperlink>
      <w:r w:rsidRPr="00B57258">
        <w:rPr>
          <w:rFonts w:ascii="Arial" w:eastAsia="Arial" w:hAnsi="Arial" w:cs="Arial"/>
          <w:color w:val="196B24"/>
          <w:sz w:val="22"/>
          <w:szCs w:val="22"/>
          <w:u w:val="single"/>
        </w:rPr>
        <w:t xml:space="preserve"> </w:t>
      </w:r>
      <w:r w:rsidRPr="00B57258">
        <w:rPr>
          <w:rFonts w:ascii="Arial" w:eastAsia="Arial" w:hAnsi="Arial" w:cs="Arial"/>
          <w:color w:val="000000"/>
          <w:sz w:val="22"/>
          <w:szCs w:val="22"/>
        </w:rPr>
        <w:t>and are subject to the terms</w:t>
      </w:r>
      <w:r w:rsidRPr="00B57258">
        <w:rPr>
          <w:rFonts w:ascii="Arial" w:eastAsia="Calibri" w:hAnsi="Arial" w:cs="Arial"/>
          <w:color w:val="000000"/>
        </w:rPr>
        <w:t xml:space="preserve"> and conditions of employment in the </w:t>
      </w:r>
      <w:hyperlink r:id="rId12" w:history="1">
        <w:r w:rsidRPr="00B57258">
          <w:rPr>
            <w:rStyle w:val="Hyperlink"/>
            <w:rFonts w:ascii="Arial" w:eastAsia="Calibri" w:hAnsi="Arial" w:cs="Arial"/>
          </w:rPr>
          <w:t>OPH Enterprise Agreem</w:t>
        </w:r>
        <w:bookmarkStart w:id="0" w:name="_Hlt163118285"/>
        <w:bookmarkStart w:id="1" w:name="_Hlt163118286"/>
        <w:r w:rsidRPr="00B57258">
          <w:rPr>
            <w:rStyle w:val="Hyperlink"/>
            <w:rFonts w:ascii="Arial" w:eastAsia="Calibri" w:hAnsi="Arial" w:cs="Arial"/>
          </w:rPr>
          <w:t>e</w:t>
        </w:r>
        <w:bookmarkEnd w:id="0"/>
        <w:bookmarkEnd w:id="1"/>
        <w:r w:rsidRPr="00B57258">
          <w:rPr>
            <w:rStyle w:val="Hyperlink"/>
            <w:rFonts w:ascii="Arial" w:eastAsia="Calibri" w:hAnsi="Arial" w:cs="Arial"/>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602BCAFE" w14:textId="057B921B" w:rsidR="00B57258" w:rsidRPr="00B57258" w:rsidRDefault="00B57258" w:rsidP="00B57258">
      <w:pPr>
        <w:pStyle w:val="NormalWeb"/>
        <w:rPr>
          <w:rFonts w:ascii="Arial" w:hAnsi="Arial" w:cs="Arial"/>
        </w:rPr>
      </w:pPr>
      <w:r w:rsidRPr="00B57258">
        <w:rPr>
          <w:rFonts w:ascii="Arial" w:hAnsi="Arial" w:cs="Arial"/>
          <w:sz w:val="22"/>
          <w:szCs w:val="22"/>
        </w:rPr>
        <w:t>The Learning Coordinator</w:t>
      </w:r>
      <w:r w:rsidR="00892934">
        <w:rPr>
          <w:rFonts w:ascii="Arial" w:hAnsi="Arial" w:cs="Arial"/>
          <w:sz w:val="22"/>
          <w:szCs w:val="22"/>
        </w:rPr>
        <w:t xml:space="preserve"> roles</w:t>
      </w:r>
      <w:r w:rsidRPr="00B57258">
        <w:rPr>
          <w:rFonts w:ascii="Arial" w:hAnsi="Arial" w:cs="Arial"/>
          <w:sz w:val="22"/>
          <w:szCs w:val="22"/>
        </w:rPr>
        <w:t xml:space="preserve"> </w:t>
      </w:r>
      <w:r w:rsidR="00892934">
        <w:rPr>
          <w:rFonts w:ascii="Arial" w:hAnsi="Arial" w:cs="Arial"/>
          <w:sz w:val="22"/>
          <w:szCs w:val="22"/>
        </w:rPr>
        <w:t>are</w:t>
      </w:r>
      <w:r w:rsidRPr="00B57258">
        <w:rPr>
          <w:rFonts w:ascii="Arial" w:hAnsi="Arial" w:cs="Arial"/>
          <w:sz w:val="22"/>
          <w:szCs w:val="22"/>
        </w:rPr>
        <w:t xml:space="preserve"> critical to the development, implementation and delivery of high-quality curriculum aligned onsite, online and outreach learning programs.</w:t>
      </w:r>
    </w:p>
    <w:p w14:paraId="0B1757BB" w14:textId="77777777" w:rsidR="00B57258" w:rsidRPr="00B57258" w:rsidRDefault="00B57258" w:rsidP="00B57258">
      <w:pPr>
        <w:pStyle w:val="NormalWeb"/>
        <w:rPr>
          <w:rFonts w:ascii="Arial" w:hAnsi="Arial" w:cs="Arial"/>
        </w:rPr>
      </w:pPr>
      <w:r w:rsidRPr="00B57258">
        <w:rPr>
          <w:rFonts w:ascii="Arial" w:hAnsi="Arial" w:cs="Arial"/>
          <w:sz w:val="22"/>
          <w:szCs w:val="22"/>
        </w:rPr>
        <w:t>This position plays a key role in our Learning leadership team and involves stakeholder engagement, collaborating with others, as well as supervising and training a high performing team of Museum educators in a heritage building. The Digital Learning Coordinator is a critical advocate on projects and involves working closely with other teams across the museum.</w:t>
      </w:r>
    </w:p>
    <w:p w14:paraId="198D522A" w14:textId="77777777" w:rsidR="00B57258" w:rsidRPr="00B57258" w:rsidRDefault="00B57258" w:rsidP="00B57258">
      <w:pPr>
        <w:pStyle w:val="NormalWeb"/>
        <w:rPr>
          <w:rFonts w:ascii="Arial" w:hAnsi="Arial" w:cs="Arial"/>
        </w:rPr>
      </w:pPr>
      <w:r w:rsidRPr="00B57258">
        <w:rPr>
          <w:rFonts w:ascii="Arial" w:hAnsi="Arial" w:cs="Arial"/>
          <w:sz w:val="22"/>
          <w:szCs w:val="22"/>
        </w:rPr>
        <w:t xml:space="preserve">This job involves creating new resources for the MoAD website, expanding our reach and designing new professional development opportunities for teachers, tertiary students, and museum colleagues. </w:t>
      </w:r>
    </w:p>
    <w:p w14:paraId="5D95D5B2" w14:textId="77777777" w:rsidR="00B57258" w:rsidRPr="00B57258" w:rsidRDefault="00B57258" w:rsidP="00B57258">
      <w:pPr>
        <w:pStyle w:val="Heading1"/>
        <w:spacing w:before="120" w:after="120"/>
        <w:rPr>
          <w:rFonts w:ascii="Arial" w:hAnsi="Arial" w:cs="Arial"/>
          <w:bCs/>
          <w:color w:val="auto"/>
          <w:sz w:val="24"/>
        </w:rPr>
      </w:pPr>
      <w:r w:rsidRPr="00B57258">
        <w:rPr>
          <w:rFonts w:ascii="Arial" w:hAnsi="Arial" w:cs="Arial"/>
          <w:color w:val="auto"/>
          <w:sz w:val="22"/>
          <w:szCs w:val="22"/>
        </w:rPr>
        <w:t>The Museum is open 364 days per year. After hours and weekend work may be required at times.</w:t>
      </w:r>
    </w:p>
    <w:p w14:paraId="4F849AF4" w14:textId="77777777" w:rsidR="009157A0" w:rsidRDefault="009157A0" w:rsidP="009157A0">
      <w:pPr>
        <w:spacing w:after="120"/>
        <w:rPr>
          <w:rFonts w:ascii="Arial" w:eastAsia="Arial" w:hAnsi="Arial" w:cs="Arial"/>
          <w:sz w:val="22"/>
          <w:szCs w:val="22"/>
        </w:rPr>
      </w:pPr>
    </w:p>
    <w:p w14:paraId="2D396912" w14:textId="77777777" w:rsidR="009157A0" w:rsidRDefault="009157A0" w:rsidP="009157A0">
      <w:pPr>
        <w:spacing w:after="120"/>
        <w:rPr>
          <w:rFonts w:ascii="Arial" w:eastAsia="Arial" w:hAnsi="Arial" w:cs="Arial"/>
          <w:sz w:val="22"/>
          <w:szCs w:val="22"/>
        </w:rPr>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73D18597" w14:textId="77777777" w:rsidR="00B57258" w:rsidRDefault="00B57258" w:rsidP="009157A0">
      <w:pPr>
        <w:spacing w:after="120"/>
        <w:rPr>
          <w:rFonts w:ascii="Arial" w:eastAsia="Arial" w:hAnsi="Arial" w:cs="Arial"/>
          <w:sz w:val="22"/>
          <w:szCs w:val="22"/>
        </w:rPr>
      </w:pPr>
    </w:p>
    <w:p w14:paraId="1732024F" w14:textId="77777777" w:rsidR="00B57258" w:rsidRDefault="00B57258" w:rsidP="009157A0">
      <w:pPr>
        <w:spacing w:after="120"/>
        <w:rPr>
          <w:rFonts w:ascii="Arial" w:eastAsia="Arial" w:hAnsi="Arial" w:cs="Arial"/>
          <w:sz w:val="22"/>
          <w:szCs w:val="22"/>
        </w:rPr>
      </w:pPr>
    </w:p>
    <w:p w14:paraId="3A4DC075" w14:textId="77777777" w:rsidR="00B57258" w:rsidRDefault="00B57258" w:rsidP="009157A0">
      <w:pPr>
        <w:spacing w:after="120"/>
        <w:rPr>
          <w:rFonts w:ascii="Arial" w:eastAsia="Arial" w:hAnsi="Arial" w:cs="Arial"/>
          <w:sz w:val="22"/>
          <w:szCs w:val="22"/>
        </w:rPr>
      </w:pPr>
    </w:p>
    <w:p w14:paraId="6250C01C" w14:textId="77777777" w:rsidR="00B57258" w:rsidRDefault="00B57258" w:rsidP="009157A0">
      <w:pPr>
        <w:spacing w:after="120"/>
      </w:pPr>
    </w:p>
    <w:p w14:paraId="0E8096A2" w14:textId="77777777" w:rsidR="009157A0" w:rsidRDefault="009157A0"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lastRenderedPageBreak/>
        <w:t>ROLE RESPONSIBILITIES and DUTIES</w:t>
      </w:r>
    </w:p>
    <w:p w14:paraId="3001C412" w14:textId="77777777" w:rsidR="009157A0" w:rsidRDefault="009157A0" w:rsidP="009157A0">
      <w:pPr>
        <w:rPr>
          <w:rFonts w:ascii="Arial" w:hAnsi="Arial" w:cs="Arial"/>
        </w:rPr>
      </w:pPr>
    </w:p>
    <w:p w14:paraId="7F43D57D" w14:textId="2CD9DC14" w:rsidR="00B57258" w:rsidRPr="00B57258" w:rsidRDefault="00B57258" w:rsidP="00B57258">
      <w:pPr>
        <w:pStyle w:val="NormalWeb"/>
        <w:rPr>
          <w:rFonts w:ascii="Arial" w:hAnsi="Arial" w:cs="Arial"/>
        </w:rPr>
      </w:pPr>
      <w:r w:rsidRPr="00B57258">
        <w:rPr>
          <w:rFonts w:ascii="Arial" w:hAnsi="Arial" w:cs="Arial"/>
          <w:sz w:val="22"/>
          <w:szCs w:val="22"/>
        </w:rPr>
        <w:t>Under the broad direction of the Learning Manager,</w:t>
      </w:r>
      <w:r>
        <w:rPr>
          <w:rFonts w:ascii="Arial" w:hAnsi="Arial" w:cs="Arial"/>
          <w:sz w:val="22"/>
          <w:szCs w:val="22"/>
        </w:rPr>
        <w:t xml:space="preserve"> you will:</w:t>
      </w:r>
    </w:p>
    <w:p w14:paraId="686207A1"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Manage the development and coordination of onsite and digital learning programs; including staffing, program bookings, operational systems and program delivery to ensure high quality learning experiences for schools and youth audiences. </w:t>
      </w:r>
    </w:p>
    <w:p w14:paraId="13CBA8FF"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Manage the development, delivery and evaluation of onsite, offsite and digital TQI identified and accredited professional learning programs for teachers. </w:t>
      </w:r>
    </w:p>
    <w:p w14:paraId="071EFBA2"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Take a leadership role in the recruitment, supervision, professional development and mentoring of staff. </w:t>
      </w:r>
    </w:p>
    <w:p w14:paraId="4AA823C8"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Contribute to the Museum’s strategic direction for Learning. </w:t>
      </w:r>
    </w:p>
    <w:p w14:paraId="2F7196C2"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Support and promote productive stakeholder engagement and relationships across the Museum, within the broader museum sector and with critical external stakeholder groups including teachers, associations, tour operators and school communities. </w:t>
      </w:r>
    </w:p>
    <w:p w14:paraId="33B167EB" w14:textId="77777777" w:rsidR="00B57258" w:rsidRPr="00B57258" w:rsidRDefault="00B57258" w:rsidP="00B57258">
      <w:pPr>
        <w:pStyle w:val="NormalWeb"/>
        <w:numPr>
          <w:ilvl w:val="0"/>
          <w:numId w:val="9"/>
        </w:numPr>
        <w:rPr>
          <w:rFonts w:ascii="Arial" w:hAnsi="Arial" w:cs="Arial"/>
          <w:sz w:val="22"/>
          <w:szCs w:val="22"/>
        </w:rPr>
      </w:pPr>
      <w:r w:rsidRPr="00B57258">
        <w:rPr>
          <w:rFonts w:ascii="Arial" w:hAnsi="Arial" w:cs="Arial"/>
          <w:sz w:val="22"/>
          <w:szCs w:val="22"/>
        </w:rPr>
        <w:t xml:space="preserve">Promote the Museum and its vision to external stakeholders through social media platforms and representing the museum at conferences and external meetings. </w:t>
      </w: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591578FC" w14:textId="2A56FBFC" w:rsidR="009157A0" w:rsidRPr="00B57258" w:rsidRDefault="009157A0" w:rsidP="00B57258">
      <w:pPr>
        <w:rPr>
          <w:rFonts w:ascii="Arial" w:hAnsi="Arial" w:cs="Arial"/>
          <w:bCs/>
          <w:sz w:val="22"/>
          <w:szCs w:val="22"/>
        </w:rPr>
      </w:pPr>
      <w:r w:rsidRPr="00B57258">
        <w:rPr>
          <w:rFonts w:ascii="Arial" w:hAnsi="Arial" w:cs="Arial"/>
          <w:bCs/>
          <w:sz w:val="22"/>
          <w:szCs w:val="22"/>
        </w:rPr>
        <w:t xml:space="preserve">Our ideal candidate will </w:t>
      </w:r>
      <w:r w:rsidR="00B57258">
        <w:rPr>
          <w:rFonts w:ascii="Arial" w:hAnsi="Arial" w:cs="Arial"/>
          <w:bCs/>
          <w:sz w:val="22"/>
          <w:szCs w:val="22"/>
        </w:rPr>
        <w:t>have</w:t>
      </w:r>
      <w:r w:rsidR="0018732D">
        <w:rPr>
          <w:rFonts w:ascii="Arial" w:hAnsi="Arial" w:cs="Arial"/>
          <w:bCs/>
          <w:sz w:val="22"/>
          <w:szCs w:val="22"/>
        </w:rPr>
        <w:t>:</w:t>
      </w:r>
    </w:p>
    <w:p w14:paraId="2FA6B696" w14:textId="77777777" w:rsidR="00B57258" w:rsidRDefault="00B57258" w:rsidP="00B57258">
      <w:pPr>
        <w:pStyle w:val="NormalWeb"/>
        <w:numPr>
          <w:ilvl w:val="0"/>
          <w:numId w:val="8"/>
        </w:numPr>
        <w:rPr>
          <w:rFonts w:ascii="SymbolMT" w:hAnsi="SymbolMT"/>
          <w:sz w:val="20"/>
          <w:szCs w:val="20"/>
        </w:rPr>
      </w:pPr>
      <w:r>
        <w:rPr>
          <w:rFonts w:ascii="ArialMT" w:hAnsi="ArialMT"/>
          <w:sz w:val="22"/>
          <w:szCs w:val="22"/>
        </w:rPr>
        <w:t xml:space="preserve">High-level management skills to build team cohesion, supervise operations and coordinate staff training. </w:t>
      </w:r>
    </w:p>
    <w:p w14:paraId="29B775A1" w14:textId="77777777" w:rsidR="00B57258" w:rsidRDefault="00B57258" w:rsidP="00B57258">
      <w:pPr>
        <w:pStyle w:val="NormalWeb"/>
        <w:numPr>
          <w:ilvl w:val="0"/>
          <w:numId w:val="8"/>
        </w:numPr>
        <w:rPr>
          <w:rFonts w:ascii="SymbolMT" w:hAnsi="SymbolMT"/>
          <w:sz w:val="20"/>
          <w:szCs w:val="20"/>
        </w:rPr>
      </w:pPr>
      <w:r>
        <w:rPr>
          <w:rFonts w:ascii="ArialMT" w:hAnsi="ArialMT"/>
          <w:sz w:val="22"/>
          <w:szCs w:val="22"/>
        </w:rPr>
        <w:t xml:space="preserve">Demonstrated ability to develop, deliver and evaluate innovate and engaging learning programs, both onsite and digital. </w:t>
      </w:r>
    </w:p>
    <w:p w14:paraId="7E2872DB" w14:textId="77777777" w:rsidR="00B57258" w:rsidRDefault="00B57258" w:rsidP="00B57258">
      <w:pPr>
        <w:pStyle w:val="NormalWeb"/>
        <w:numPr>
          <w:ilvl w:val="0"/>
          <w:numId w:val="8"/>
        </w:numPr>
        <w:rPr>
          <w:rFonts w:ascii="SymbolMT" w:hAnsi="SymbolMT"/>
          <w:sz w:val="20"/>
          <w:szCs w:val="20"/>
        </w:rPr>
      </w:pPr>
      <w:r>
        <w:rPr>
          <w:rFonts w:ascii="ArialMT" w:hAnsi="ArialMT"/>
          <w:sz w:val="22"/>
          <w:szCs w:val="22"/>
        </w:rPr>
        <w:t xml:space="preserve">Self-motivated with a proven commitment to consistently achieving results. </w:t>
      </w:r>
    </w:p>
    <w:p w14:paraId="70CB45CC" w14:textId="77777777" w:rsidR="00B57258" w:rsidRDefault="00B57258" w:rsidP="00B57258">
      <w:pPr>
        <w:pStyle w:val="NormalWeb"/>
        <w:numPr>
          <w:ilvl w:val="0"/>
          <w:numId w:val="8"/>
        </w:numPr>
        <w:rPr>
          <w:rFonts w:ascii="SymbolMT" w:hAnsi="SymbolMT"/>
          <w:sz w:val="20"/>
          <w:szCs w:val="20"/>
        </w:rPr>
      </w:pPr>
      <w:r>
        <w:rPr>
          <w:rFonts w:ascii="ArialMT" w:hAnsi="ArialMT"/>
          <w:sz w:val="22"/>
          <w:szCs w:val="22"/>
        </w:rPr>
        <w:t xml:space="preserve">Demonstrated experience in liaising with internal and external stakeholders to promote and enrich cross team initiatives and the civics and citizenship learning role of the museum. </w:t>
      </w:r>
    </w:p>
    <w:p w14:paraId="4141A842" w14:textId="77777777" w:rsidR="00B57258" w:rsidRDefault="00B57258" w:rsidP="00B57258">
      <w:pPr>
        <w:pStyle w:val="NormalWeb"/>
        <w:numPr>
          <w:ilvl w:val="0"/>
          <w:numId w:val="8"/>
        </w:numPr>
        <w:rPr>
          <w:rFonts w:ascii="SymbolMT" w:hAnsi="SymbolMT"/>
          <w:sz w:val="20"/>
          <w:szCs w:val="20"/>
        </w:rPr>
      </w:pPr>
      <w:r>
        <w:rPr>
          <w:rFonts w:ascii="ArialMT" w:hAnsi="ArialMT"/>
          <w:sz w:val="22"/>
          <w:szCs w:val="22"/>
        </w:rPr>
        <w:t xml:space="preserve">Demonstrated knowledge and capacity to apply Work Health and Safety within a work and team environment. </w:t>
      </w:r>
    </w:p>
    <w:p w14:paraId="2AEECB8D" w14:textId="10A9B33D" w:rsidR="001820E2" w:rsidRPr="001820E2" w:rsidRDefault="001820E2" w:rsidP="001820E2">
      <w:pPr>
        <w:pStyle w:val="NormalWeb"/>
        <w:rPr>
          <w:rFonts w:ascii="Arial" w:hAnsi="Arial" w:cs="Arial"/>
        </w:rPr>
      </w:pPr>
      <w:r w:rsidRPr="001820E2">
        <w:rPr>
          <w:rFonts w:ascii="Arial" w:hAnsi="Arial" w:cs="Arial"/>
          <w:sz w:val="22"/>
          <w:szCs w:val="22"/>
        </w:rPr>
        <w:br/>
        <w:t>Tertiary qualifications in Education are Highly Desirable for this role</w:t>
      </w:r>
      <w:r>
        <w:rPr>
          <w:rFonts w:ascii="Arial" w:hAnsi="Arial" w:cs="Arial"/>
          <w:sz w:val="22"/>
          <w:szCs w:val="22"/>
        </w:rPr>
        <w:t>.</w:t>
      </w:r>
    </w:p>
    <w:p w14:paraId="27CF4F50" w14:textId="77777777" w:rsidR="009157A0" w:rsidRDefault="009157A0" w:rsidP="009157A0">
      <w:pPr>
        <w:rPr>
          <w:rFonts w:ascii="Arial" w:hAnsi="Arial" w:cs="Arial"/>
          <w:bCs/>
          <w:color w:val="FF0000"/>
        </w:rPr>
      </w:pP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18AC04B2" w14:textId="77777777" w:rsidR="009157A0" w:rsidRDefault="009157A0" w:rsidP="009157A0">
      <w:pPr>
        <w:pStyle w:val="ListParagraph"/>
        <w:numPr>
          <w:ilvl w:val="0"/>
          <w:numId w:val="3"/>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5EB01EED" w:rsidR="009157A0" w:rsidRDefault="009157A0" w:rsidP="009157A0">
      <w:pPr>
        <w:pStyle w:val="ListParagraph"/>
        <w:numPr>
          <w:ilvl w:val="1"/>
          <w:numId w:val="3"/>
        </w:numPr>
        <w:suppressAutoHyphens/>
        <w:autoSpaceDN w:val="0"/>
      </w:pPr>
      <w:r>
        <w:rPr>
          <w:rFonts w:ascii="Arial" w:hAnsi="Arial" w:cs="Arial"/>
          <w:sz w:val="22"/>
          <w:szCs w:val="22"/>
        </w:rPr>
        <w:t>When framing your statement, please ensure you adequately demonstrate your skills, qualifications, experience and capabilities</w:t>
      </w:r>
      <w:r w:rsidR="0018732D">
        <w:rPr>
          <w:rFonts w:ascii="Arial" w:hAnsi="Arial" w:cs="Arial"/>
          <w:sz w:val="22"/>
          <w:szCs w:val="22"/>
        </w:rPr>
        <w:t xml:space="preserve"> against the role responsibilities and duties.</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400263EB" w14:textId="77777777" w:rsidR="00697E1F" w:rsidRDefault="00697E1F" w:rsidP="00697E1F">
      <w:pPr>
        <w:pStyle w:val="ListParagraph"/>
        <w:suppressAutoHyphens/>
        <w:autoSpaceDN w:val="0"/>
        <w:ind w:left="360"/>
        <w:rPr>
          <w:rFonts w:ascii="Arial" w:hAnsi="Arial" w:cs="Arial"/>
          <w:sz w:val="22"/>
          <w:szCs w:val="22"/>
        </w:rPr>
      </w:pPr>
    </w:p>
    <w:p w14:paraId="4D86C05B" w14:textId="76704637" w:rsidR="00697E1F" w:rsidRPr="00C27448" w:rsidRDefault="00697E1F" w:rsidP="009157A0">
      <w:pPr>
        <w:pStyle w:val="ListParagraph"/>
        <w:numPr>
          <w:ilvl w:val="0"/>
          <w:numId w:val="4"/>
        </w:numPr>
        <w:suppressAutoHyphens/>
        <w:autoSpaceDN w:val="0"/>
        <w:ind w:left="360"/>
        <w:rPr>
          <w:rFonts w:ascii="Arial" w:hAnsi="Arial" w:cs="Arial"/>
          <w:sz w:val="22"/>
          <w:szCs w:val="22"/>
        </w:rPr>
      </w:pPr>
      <w:r w:rsidRPr="00697E1F">
        <w:rPr>
          <w:rFonts w:ascii="Arial" w:hAnsi="Arial" w:cs="Arial"/>
          <w:sz w:val="22"/>
          <w:szCs w:val="22"/>
        </w:rPr>
        <w:t xml:space="preserve">A coversheet from the </w:t>
      </w:r>
      <w:hyperlink r:id="rId13" w:tgtFrame="_blank" w:history="1">
        <w:r w:rsidRPr="00697E1F">
          <w:rPr>
            <w:rStyle w:val="Hyperlink"/>
            <w:rFonts w:ascii="Arial" w:hAnsi="Arial" w:cs="Arial"/>
            <w:sz w:val="22"/>
            <w:szCs w:val="22"/>
          </w:rPr>
          <w:t>MoAD Website</w:t>
        </w:r>
      </w:hyperlink>
      <w:r w:rsidRPr="00697E1F">
        <w:rPr>
          <w:rFonts w:ascii="Arial" w:hAnsi="Arial" w:cs="Arial"/>
          <w:sz w:val="22"/>
          <w:szCs w:val="22"/>
        </w:rPr>
        <w:t> </w:t>
      </w:r>
    </w:p>
    <w:p w14:paraId="466075BC" w14:textId="77777777" w:rsidR="009157A0" w:rsidRDefault="009157A0" w:rsidP="009157A0">
      <w:pPr>
        <w:pBdr>
          <w:bottom w:val="single" w:sz="4" w:space="1" w:color="000000"/>
        </w:pBdr>
        <w:rPr>
          <w:rFonts w:ascii="Arial" w:hAnsi="Arial" w:cs="Arial"/>
          <w:b/>
        </w:rPr>
      </w:pPr>
    </w:p>
    <w:p w14:paraId="7ABC42E9" w14:textId="77777777" w:rsidR="00B57258" w:rsidRDefault="00B57258" w:rsidP="009157A0">
      <w:pPr>
        <w:pBdr>
          <w:bottom w:val="single" w:sz="4" w:space="1" w:color="000000"/>
        </w:pBdr>
        <w:rPr>
          <w:rFonts w:ascii="Arial" w:hAnsi="Arial" w:cs="Arial"/>
          <w:b/>
        </w:rPr>
      </w:pPr>
    </w:p>
    <w:p w14:paraId="30A1AD2B" w14:textId="77777777" w:rsidR="00B57258" w:rsidRDefault="00B57258" w:rsidP="009157A0">
      <w:pPr>
        <w:pBdr>
          <w:bottom w:val="single" w:sz="4" w:space="1" w:color="000000"/>
        </w:pBdr>
        <w:rPr>
          <w:rFonts w:ascii="Arial" w:hAnsi="Arial" w:cs="Arial"/>
          <w:b/>
        </w:rPr>
      </w:pPr>
    </w:p>
    <w:p w14:paraId="690161AC" w14:textId="77777777" w:rsidR="00B57258" w:rsidRDefault="00B57258" w:rsidP="009157A0">
      <w:pPr>
        <w:pBdr>
          <w:bottom w:val="single" w:sz="4" w:space="1" w:color="000000"/>
        </w:pBdr>
        <w:rPr>
          <w:rFonts w:ascii="Arial" w:hAnsi="Arial" w:cs="Arial"/>
          <w:b/>
        </w:rPr>
      </w:pPr>
    </w:p>
    <w:p w14:paraId="0C53CB25" w14:textId="77777777" w:rsidR="00B57258" w:rsidRDefault="00B57258" w:rsidP="009157A0">
      <w:pPr>
        <w:pBdr>
          <w:bottom w:val="single" w:sz="4" w:space="1" w:color="000000"/>
        </w:pBdr>
        <w:rPr>
          <w:rFonts w:ascii="Arial" w:hAnsi="Arial" w:cs="Arial"/>
          <w:b/>
        </w:rPr>
      </w:pPr>
    </w:p>
    <w:p w14:paraId="23CB07C6" w14:textId="77777777" w:rsidR="00B57258" w:rsidRDefault="00B57258"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425A1B82" w14:textId="77777777" w:rsidR="009157A0" w:rsidRDefault="009157A0" w:rsidP="009157A0">
      <w:pPr>
        <w:spacing w:line="360" w:lineRule="auto"/>
        <w:rPr>
          <w:rFonts w:ascii="Arial" w:hAnsi="Arial" w:cs="Arial"/>
          <w:szCs w:val="21"/>
        </w:rPr>
      </w:pPr>
      <w:r>
        <w:rPr>
          <w:rFonts w:ascii="Arial" w:hAnsi="Arial" w:cs="Arial"/>
          <w:szCs w:val="21"/>
        </w:rPr>
        <w:t>Employment with the Museum of Australian Democracy is subject to the following conditions:</w:t>
      </w:r>
    </w:p>
    <w:p w14:paraId="15DE3048" w14:textId="77777777" w:rsidR="009157A0" w:rsidRDefault="009157A0" w:rsidP="009157A0">
      <w:pPr>
        <w:pStyle w:val="ListParagraph"/>
        <w:numPr>
          <w:ilvl w:val="0"/>
          <w:numId w:val="5"/>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055B7425" w:rsidR="009157A0" w:rsidRPr="00B57258" w:rsidRDefault="009157A0" w:rsidP="009157A0">
      <w:pPr>
        <w:pStyle w:val="ListParagraph"/>
        <w:numPr>
          <w:ilvl w:val="0"/>
          <w:numId w:val="5"/>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260DB3">
        <w:rPr>
          <w:rFonts w:ascii="Arial" w:hAnsi="Arial" w:cs="Arial"/>
          <w:sz w:val="22"/>
          <w:szCs w:val="22"/>
        </w:rPr>
        <w:t>obtain</w:t>
      </w:r>
      <w:r>
        <w:rPr>
          <w:rFonts w:ascii="Arial" w:hAnsi="Arial" w:cs="Arial"/>
          <w:sz w:val="22"/>
          <w:szCs w:val="22"/>
        </w:rPr>
        <w:t xml:space="preserve"> and maintain a security clearance at the baseline level. </w:t>
      </w:r>
    </w:p>
    <w:p w14:paraId="7F83D28F" w14:textId="77777777" w:rsidR="00B57258" w:rsidRDefault="00B57258" w:rsidP="00B57258">
      <w:pPr>
        <w:pStyle w:val="ListParagraph"/>
      </w:pPr>
    </w:p>
    <w:p w14:paraId="7B62271F" w14:textId="42C17B93" w:rsidR="00B57258" w:rsidRPr="001820E2" w:rsidRDefault="001820E2" w:rsidP="009157A0">
      <w:pPr>
        <w:pStyle w:val="ListParagraph"/>
        <w:numPr>
          <w:ilvl w:val="0"/>
          <w:numId w:val="5"/>
        </w:numPr>
        <w:suppressAutoHyphens/>
        <w:autoSpaceDN w:val="0"/>
        <w:ind w:left="360"/>
        <w:rPr>
          <w:sz w:val="22"/>
          <w:szCs w:val="22"/>
        </w:rPr>
      </w:pPr>
      <w:r w:rsidRPr="001820E2">
        <w:rPr>
          <w:rFonts w:ascii="Arial" w:hAnsi="Arial" w:cs="Arial"/>
          <w:b/>
          <w:bCs/>
          <w:sz w:val="22"/>
          <w:szCs w:val="22"/>
        </w:rPr>
        <w:t>Working with Vulnerable People</w:t>
      </w:r>
      <w:r>
        <w:rPr>
          <w:rFonts w:ascii="Arial" w:hAnsi="Arial" w:cs="Arial"/>
          <w:b/>
          <w:bCs/>
          <w:sz w:val="22"/>
          <w:szCs w:val="22"/>
        </w:rPr>
        <w:t xml:space="preserve"> (WwVP) </w:t>
      </w:r>
      <w:r>
        <w:rPr>
          <w:rFonts w:ascii="Arial" w:hAnsi="Arial" w:cs="Arial"/>
          <w:sz w:val="22"/>
          <w:szCs w:val="22"/>
        </w:rPr>
        <w:t>– The successful applicant will require a valid WwVP prior to commencement.</w:t>
      </w:r>
    </w:p>
    <w:p w14:paraId="6F4B48FB" w14:textId="77777777" w:rsidR="009157A0" w:rsidRDefault="009157A0"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t>SUBMISSION OF APPLICATION</w:t>
      </w:r>
    </w:p>
    <w:p w14:paraId="2C2D4E71" w14:textId="77777777" w:rsidR="009157A0" w:rsidRDefault="009157A0" w:rsidP="009157A0">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Default="009157A0" w:rsidP="00CE3FBC">
            <w:pPr>
              <w:spacing w:after="120"/>
            </w:pPr>
            <w:hyperlink r:id="rId15" w:history="1">
              <w:r w:rsidRPr="004E71E7">
                <w:rPr>
                  <w:rStyle w:val="Hyperlink"/>
                  <w:rFonts w:ascii="Arial" w:eastAsiaTheme="majorEastAsia" w:hAnsi="Arial" w:cs="Arial"/>
                </w:rPr>
                <w:t>applications</w:t>
              </w:r>
              <w:r w:rsidRPr="003D7B3A">
                <w:rPr>
                  <w:rStyle w:val="Hyperlink"/>
                  <w:rFonts w:ascii="Arial" w:eastAsiaTheme="majorEastAsia" w:hAnsi="Arial" w:cs="Arial"/>
                </w:rPr>
                <w:t>@moadoph.gov.au</w:t>
              </w:r>
            </w:hyperlink>
          </w:p>
        </w:tc>
      </w:tr>
    </w:tbl>
    <w:p w14:paraId="477554BE" w14:textId="77777777" w:rsidR="009157A0" w:rsidRDefault="009157A0" w:rsidP="009157A0">
      <w:pPr>
        <w:rPr>
          <w:rFonts w:ascii="Arial" w:hAnsi="Arial" w:cs="Arial"/>
        </w:rPr>
      </w:pPr>
    </w:p>
    <w:p w14:paraId="7B40E7DE" w14:textId="5F276C0D"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Your application will be automatically acknowledged. If you do not receive an automated receipt, please contact the Recruitment Officer on 02 6270 8192 or 02 6270 82</w:t>
      </w:r>
      <w:r w:rsidR="00162CF9">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Applications received after closing will not be accepted unless prior arrangement has been made with the contact officer.</w:t>
      </w:r>
    </w:p>
    <w:p w14:paraId="472313D1" w14:textId="77777777" w:rsidR="009157A0" w:rsidRDefault="009157A0" w:rsidP="009157A0">
      <w:pPr>
        <w:pStyle w:val="ListParagraph"/>
        <w:numPr>
          <w:ilvl w:val="0"/>
          <w:numId w:val="6"/>
        </w:numPr>
        <w:suppressAutoHyphens/>
        <w:autoSpaceDN w:val="0"/>
        <w:ind w:right="90"/>
      </w:pPr>
      <w:r>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27BC06C7" w14:textId="5D632C39" w:rsidR="009157A0" w:rsidRDefault="009157A0" w:rsidP="009157A0">
      <w:pPr>
        <w:pStyle w:val="ListParagraph"/>
        <w:numPr>
          <w:ilvl w:val="0"/>
          <w:numId w:val="6"/>
        </w:numPr>
        <w:suppressAutoHyphens/>
        <w:autoSpaceDN w:val="0"/>
        <w:rPr>
          <w:rFonts w:ascii="Arial" w:eastAsia="Arial" w:hAnsi="Arial" w:cs="Arial"/>
          <w:sz w:val="22"/>
          <w:szCs w:val="22"/>
        </w:rPr>
      </w:pPr>
      <w:r>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w:t>
      </w:r>
      <w:r w:rsidR="000A1436">
        <w:rPr>
          <w:rFonts w:ascii="Arial" w:eastAsia="Arial" w:hAnsi="Arial" w:cs="Arial"/>
          <w:sz w:val="22"/>
          <w:szCs w:val="22"/>
        </w:rPr>
        <w:t>3</w:t>
      </w:r>
      <w:r>
        <w:rPr>
          <w:rFonts w:ascii="Arial" w:eastAsia="Arial" w:hAnsi="Arial" w:cs="Arial"/>
          <w:sz w:val="22"/>
          <w:szCs w:val="22"/>
        </w:rPr>
        <w:t xml:space="preserve">5. </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9157A0">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734D" w14:textId="77777777" w:rsidR="00C8287B" w:rsidRDefault="00C8287B">
      <w:r>
        <w:separator/>
      </w:r>
    </w:p>
  </w:endnote>
  <w:endnote w:type="continuationSeparator" w:id="0">
    <w:p w14:paraId="742834C6" w14:textId="77777777" w:rsidR="00C8287B" w:rsidRDefault="00C8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77777777" w:rsidR="009157A0" w:rsidRPr="00A37782" w:rsidRDefault="009157A0" w:rsidP="00A37782">
    <w:pPr>
      <w:pStyle w:val="Footer"/>
      <w:jc w:val="right"/>
      <w:rPr>
        <w:rFonts w:ascii="Arial" w:hAnsi="Arial" w:cs="Arial"/>
        <w:sz w:val="18"/>
      </w:rPr>
    </w:pPr>
    <w:r>
      <w:rPr>
        <w:rFonts w:ascii="Arial" w:hAnsi="Arial" w:cs="Arial"/>
        <w:sz w:val="18"/>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BFAA" w14:textId="77777777" w:rsidR="00C8287B" w:rsidRDefault="00C8287B">
      <w:r>
        <w:separator/>
      </w:r>
    </w:p>
  </w:footnote>
  <w:footnote w:type="continuationSeparator" w:id="0">
    <w:p w14:paraId="4BE946E5" w14:textId="77777777" w:rsidR="00C8287B" w:rsidRDefault="00C8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E221E"/>
    <w:multiLevelType w:val="multilevel"/>
    <w:tmpl w:val="234E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591341B"/>
    <w:multiLevelType w:val="multilevel"/>
    <w:tmpl w:val="7096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76F27F1A"/>
    <w:multiLevelType w:val="multilevel"/>
    <w:tmpl w:val="DA9065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490924">
    <w:abstractNumId w:val="6"/>
  </w:num>
  <w:num w:numId="2" w16cid:durableId="1154881853">
    <w:abstractNumId w:val="4"/>
  </w:num>
  <w:num w:numId="3" w16cid:durableId="1699892200">
    <w:abstractNumId w:val="7"/>
  </w:num>
  <w:num w:numId="4" w16cid:durableId="1036390521">
    <w:abstractNumId w:val="5"/>
  </w:num>
  <w:num w:numId="5" w16cid:durableId="149518722">
    <w:abstractNumId w:val="1"/>
  </w:num>
  <w:num w:numId="6" w16cid:durableId="1754161884">
    <w:abstractNumId w:val="2"/>
  </w:num>
  <w:num w:numId="7" w16cid:durableId="1799252660">
    <w:abstractNumId w:val="3"/>
  </w:num>
  <w:num w:numId="8" w16cid:durableId="948926839">
    <w:abstractNumId w:val="0"/>
  </w:num>
  <w:num w:numId="9" w16cid:durableId="1860309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92701"/>
    <w:rsid w:val="000A1436"/>
    <w:rsid w:val="000A32E3"/>
    <w:rsid w:val="000C5002"/>
    <w:rsid w:val="00162CF9"/>
    <w:rsid w:val="001820E2"/>
    <w:rsid w:val="0018732D"/>
    <w:rsid w:val="001928AD"/>
    <w:rsid w:val="001C2D1D"/>
    <w:rsid w:val="00260DB3"/>
    <w:rsid w:val="002F4857"/>
    <w:rsid w:val="004049F5"/>
    <w:rsid w:val="00435666"/>
    <w:rsid w:val="00454D19"/>
    <w:rsid w:val="004A0E6E"/>
    <w:rsid w:val="005063ED"/>
    <w:rsid w:val="00524B3F"/>
    <w:rsid w:val="00524FCD"/>
    <w:rsid w:val="00555A49"/>
    <w:rsid w:val="00604B02"/>
    <w:rsid w:val="00697E1F"/>
    <w:rsid w:val="006C7D08"/>
    <w:rsid w:val="006F0DC5"/>
    <w:rsid w:val="00704079"/>
    <w:rsid w:val="007719E1"/>
    <w:rsid w:val="007E3B34"/>
    <w:rsid w:val="00821C17"/>
    <w:rsid w:val="00824515"/>
    <w:rsid w:val="00892934"/>
    <w:rsid w:val="009157A0"/>
    <w:rsid w:val="009D18CF"/>
    <w:rsid w:val="00A7001E"/>
    <w:rsid w:val="00B17989"/>
    <w:rsid w:val="00B57258"/>
    <w:rsid w:val="00C8287B"/>
    <w:rsid w:val="00F30186"/>
    <w:rsid w:val="00F33C08"/>
    <w:rsid w:val="00F5109E"/>
    <w:rsid w:val="21E93085"/>
    <w:rsid w:val="2DA1E53D"/>
    <w:rsid w:val="4889C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697E1F"/>
    <w:rPr>
      <w:color w:val="605E5C"/>
      <w:shd w:val="clear" w:color="auto" w:fill="E1DFDD"/>
    </w:rPr>
  </w:style>
  <w:style w:type="paragraph" w:styleId="NormalWeb">
    <w:name w:val="Normal (Web)"/>
    <w:basedOn w:val="Normal"/>
    <w:uiPriority w:val="99"/>
    <w:unhideWhenUsed/>
    <w:rsid w:val="00B57258"/>
    <w:pPr>
      <w:spacing w:before="100" w:beforeAutospacing="1" w:after="100" w:afterAutospacing="1"/>
    </w:pPr>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applications@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d722e-aa93-4bb6-b165-edb9701229d6">
      <Terms xmlns="http://schemas.microsoft.com/office/infopath/2007/PartnerControls"/>
    </lcf76f155ced4ddcb4097134ff3c332f>
    <TaxCatchAll xmlns="22f6aa4c-1f07-4b5d-ac52-0ff6575cba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c763b24bc8f5f25914e9ffcbb626e8b9">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b863679dd45e68ad723d6ad28b72566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5DE58-A29C-4B5A-B9F8-FEFF823F41B5}">
  <ds:schemaRefs>
    <ds:schemaRef ds:uri="http://schemas.microsoft.com/office/2006/metadata/properties"/>
    <ds:schemaRef ds:uri="http://schemas.microsoft.com/office/infopath/2007/PartnerControls"/>
    <ds:schemaRef ds:uri="435d722e-aa93-4bb6-b165-edb9701229d6"/>
    <ds:schemaRef ds:uri="22f6aa4c-1f07-4b5d-ac52-0ff6575cbaa8"/>
  </ds:schemaRefs>
</ds:datastoreItem>
</file>

<file path=customXml/itemProps2.xml><?xml version="1.0" encoding="utf-8"?>
<ds:datastoreItem xmlns:ds="http://schemas.openxmlformats.org/officeDocument/2006/customXml" ds:itemID="{317DEBE7-5A24-4637-914F-F9B651D2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8117C-983B-4236-8932-DB00738E8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6361</Characters>
  <Application>Microsoft Office Word</Application>
  <DocSecurity>0</DocSecurity>
  <Lines>174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2</cp:revision>
  <dcterms:created xsi:type="dcterms:W3CDTF">2024-11-27T00:49:00Z</dcterms:created>
  <dcterms:modified xsi:type="dcterms:W3CDTF">2024-11-27T00:49:00Z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0x010100939966BFA54FD749B0D7A51F381D3C7A</vt:lpwstr>
  </property>
</Properties>
</file>